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учебно- исследовательской работы (профильное исследование)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учебно- исследовательской работы (профильное исследование)»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«Основы учебно-исследовательской работы (профильное исследование)».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научно- педагогического исследования в предметной области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описания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правила формулировки задач для достижения поставленной цели проекта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правовые нормы достижения поставленной цели в сфере реализации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задачи в соответствии с целью проекта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имеющиеся ресурсы для достижения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навыком аргументировано отбирать и реализовывать различные способы решения задач в рамках цели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«Основы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ОПК-8,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04.18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91.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626.95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w:t>
            </w:r>
          </w:p>
          <w:p>
            <w:pPr>
              <w:jc w:val="center"/>
              <w:spacing w:after="0" w:line="240" w:lineRule="auto"/>
              <w:rPr>
                <w:sz w:val="24"/>
                <w:szCs w:val="24"/>
              </w:rPr>
            </w:pPr>
            <w:r>
              <w:rPr>
                <w:rFonts w:ascii="Times New Roman" w:hAnsi="Times New Roman" w:cs="Times New Roman"/>
                <w:b/>
                <w:color w:val="#000000"/>
                <w:sz w:val="24"/>
                <w:szCs w:val="24"/>
              </w:rPr>
              <w:t> государствах Древнего Востока.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w:t>
            </w:r>
          </w:p>
          <w:p>
            <w:pPr>
              <w:jc w:val="center"/>
              <w:spacing w:after="0" w:line="240" w:lineRule="auto"/>
              <w:rPr>
                <w:sz w:val="24"/>
                <w:szCs w:val="24"/>
              </w:rPr>
            </w:pPr>
            <w:r>
              <w:rPr>
                <w:rFonts w:ascii="Times New Roman" w:hAnsi="Times New Roman" w:cs="Times New Roman"/>
                <w:b/>
                <w:color w:val="#000000"/>
                <w:sz w:val="24"/>
                <w:szCs w:val="24"/>
              </w:rPr>
              <w:t> начала Нового времени (XVII 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России XVIII 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воспитания, его</w:t>
            </w:r>
          </w:p>
          <w:p>
            <w:pPr>
              <w:jc w:val="center"/>
              <w:spacing w:after="0" w:line="240" w:lineRule="auto"/>
              <w:rPr>
                <w:sz w:val="24"/>
                <w:szCs w:val="24"/>
              </w:rPr>
            </w:pPr>
            <w:r>
              <w:rPr>
                <w:rFonts w:ascii="Times New Roman" w:hAnsi="Times New Roman" w:cs="Times New Roman"/>
                <w:b/>
                <w:color w:val="#000000"/>
                <w:sz w:val="24"/>
                <w:szCs w:val="24"/>
              </w:rPr>
              <w:t> становление как осознанного,</w:t>
            </w:r>
          </w:p>
          <w:p>
            <w:pPr>
              <w:jc w:val="center"/>
              <w:spacing w:after="0" w:line="240" w:lineRule="auto"/>
              <w:rPr>
                <w:sz w:val="24"/>
                <w:szCs w:val="24"/>
              </w:rPr>
            </w:pPr>
            <w:r>
              <w:rPr>
                <w:rFonts w:ascii="Times New Roman" w:hAnsi="Times New Roman" w:cs="Times New Roman"/>
                <w:b/>
                <w:color w:val="#000000"/>
                <w:sz w:val="24"/>
                <w:szCs w:val="24"/>
              </w:rPr>
              <w:t> целенаправленного процесса в условиях</w:t>
            </w:r>
          </w:p>
          <w:p>
            <w:pPr>
              <w:jc w:val="center"/>
              <w:spacing w:after="0" w:line="240" w:lineRule="auto"/>
              <w:rPr>
                <w:sz w:val="24"/>
                <w:szCs w:val="24"/>
              </w:rPr>
            </w:pPr>
            <w:r>
              <w:rPr>
                <w:rFonts w:ascii="Times New Roman" w:hAnsi="Times New Roman" w:cs="Times New Roman"/>
                <w:b/>
                <w:color w:val="#000000"/>
                <w:sz w:val="24"/>
                <w:szCs w:val="24"/>
              </w:rPr>
              <w:t> первобытнообщинного строя.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и обучение в</w:t>
            </w:r>
          </w:p>
          <w:p>
            <w:pPr>
              <w:jc w:val="center"/>
              <w:spacing w:after="0" w:line="240" w:lineRule="auto"/>
              <w:rPr>
                <w:sz w:val="24"/>
                <w:szCs w:val="24"/>
              </w:rPr>
            </w:pPr>
            <w:r>
              <w:rPr>
                <w:rFonts w:ascii="Times New Roman" w:hAnsi="Times New Roman" w:cs="Times New Roman"/>
                <w:b/>
                <w:color w:val="#000000"/>
                <w:sz w:val="24"/>
                <w:szCs w:val="24"/>
              </w:rPr>
              <w:t> государствах Древнего Востока.</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педагогическая мысль в</w:t>
            </w:r>
          </w:p>
          <w:p>
            <w:pPr>
              <w:jc w:val="center"/>
              <w:spacing w:after="0" w:line="240" w:lineRule="auto"/>
              <w:rPr>
                <w:sz w:val="24"/>
                <w:szCs w:val="24"/>
              </w:rPr>
            </w:pPr>
            <w:r>
              <w:rPr>
                <w:rFonts w:ascii="Times New Roman" w:hAnsi="Times New Roman" w:cs="Times New Roman"/>
                <w:b/>
                <w:color w:val="#000000"/>
                <w:sz w:val="24"/>
                <w:szCs w:val="24"/>
              </w:rPr>
              <w:t> эпоху Средневековья 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обучение и педагогическая мысль на Руси (до XVII 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w:t>
            </w:r>
          </w:p>
          <w:p>
            <w:pPr>
              <w:jc w:val="center"/>
              <w:spacing w:after="0" w:line="240" w:lineRule="auto"/>
              <w:rPr>
                <w:sz w:val="24"/>
                <w:szCs w:val="24"/>
              </w:rPr>
            </w:pPr>
            <w:r>
              <w:rPr>
                <w:rFonts w:ascii="Times New Roman" w:hAnsi="Times New Roman" w:cs="Times New Roman"/>
                <w:b/>
                <w:color w:val="#000000"/>
                <w:sz w:val="24"/>
                <w:szCs w:val="24"/>
              </w:rPr>
              <w:t> начала Нового времени (XVII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теория и практика в</w:t>
            </w:r>
          </w:p>
          <w:p>
            <w:pPr>
              <w:jc w:val="center"/>
              <w:spacing w:after="0" w:line="240" w:lineRule="auto"/>
              <w:rPr>
                <w:sz w:val="24"/>
                <w:szCs w:val="24"/>
              </w:rPr>
            </w:pPr>
            <w:r>
              <w:rPr>
                <w:rFonts w:ascii="Times New Roman" w:hAnsi="Times New Roman" w:cs="Times New Roman"/>
                <w:b/>
                <w:color w:val="#000000"/>
                <w:sz w:val="24"/>
                <w:szCs w:val="24"/>
              </w:rPr>
              <w:t> Европе XVIII–XIX вв.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взгляды</w:t>
            </w:r>
          </w:p>
          <w:p>
            <w:pPr>
              <w:jc w:val="center"/>
              <w:spacing w:after="0" w:line="240" w:lineRule="auto"/>
              <w:rPr>
                <w:sz w:val="24"/>
                <w:szCs w:val="24"/>
              </w:rPr>
            </w:pPr>
            <w:r>
              <w:rPr>
                <w:rFonts w:ascii="Times New Roman" w:hAnsi="Times New Roman" w:cs="Times New Roman"/>
                <w:b/>
                <w:color w:val="#000000"/>
                <w:sz w:val="24"/>
                <w:szCs w:val="24"/>
              </w:rPr>
              <w:t> французских просветителей.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системы и общественно-педагогическое</w:t>
            </w:r>
          </w:p>
          <w:p>
            <w:pPr>
              <w:jc w:val="center"/>
              <w:spacing w:after="0" w:line="240" w:lineRule="auto"/>
              <w:rPr>
                <w:sz w:val="24"/>
                <w:szCs w:val="24"/>
              </w:rPr>
            </w:pPr>
            <w:r>
              <w:rPr>
                <w:rFonts w:ascii="Times New Roman" w:hAnsi="Times New Roman" w:cs="Times New Roman"/>
                <w:b/>
                <w:color w:val="#000000"/>
                <w:sz w:val="24"/>
                <w:szCs w:val="24"/>
              </w:rPr>
              <w:t> движение в России XIX 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53.240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педагогическая</w:t>
            </w:r>
          </w:p>
          <w:p>
            <w:pPr>
              <w:jc w:val="center"/>
              <w:spacing w:after="0" w:line="240" w:lineRule="auto"/>
              <w:rPr>
                <w:sz w:val="24"/>
                <w:szCs w:val="24"/>
              </w:rPr>
            </w:pPr>
            <w:r>
              <w:rPr>
                <w:rFonts w:ascii="Times New Roman" w:hAnsi="Times New Roman" w:cs="Times New Roman"/>
                <w:b/>
                <w:color w:val="#000000"/>
                <w:sz w:val="24"/>
                <w:szCs w:val="24"/>
              </w:rPr>
              <w:t> мысль в России в конце XX в.</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современного</w:t>
            </w:r>
          </w:p>
          <w:p>
            <w:pPr>
              <w:jc w:val="center"/>
              <w:spacing w:after="0" w:line="240" w:lineRule="auto"/>
              <w:rPr>
                <w:sz w:val="24"/>
                <w:szCs w:val="24"/>
              </w:rPr>
            </w:pPr>
            <w:r>
              <w:rPr>
                <w:rFonts w:ascii="Times New Roman" w:hAnsi="Times New Roman" w:cs="Times New Roman"/>
                <w:b/>
                <w:color w:val="#000000"/>
                <w:sz w:val="24"/>
                <w:szCs w:val="24"/>
              </w:rPr>
              <w:t> развития образовательного процесса в мире и</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учебно- исследовательской работы (профильное исследование)»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29.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2.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2024-2025_ФГОС3++2024_Бак-ОФО-ПО(БЖД)(24)_plx_Основы учебно-исследовательской работы (профильное исследование)</dc:title>
  <dc:creator>FastReport.NET</dc:creator>
</cp:coreProperties>
</file>